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E7098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bookmarkStart w:id="0" w:name="_Hlk107747093"/>
      <w:r w:rsidRPr="00836E5A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0622215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1FC22F37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779A0235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A53920E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3170505" w14:textId="77777777" w:rsidR="00836E5A" w:rsidRPr="00B11622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11622">
        <w:rPr>
          <w:rFonts w:ascii="Arial" w:eastAsia="Times New Roman" w:hAnsi="Arial" w:cs="Arial"/>
          <w:sz w:val="24"/>
          <w:szCs w:val="24"/>
          <w:lang w:eastAsia="hr-HR"/>
        </w:rPr>
        <w:t>KLASA: 024-05/24-10/1</w:t>
      </w:r>
    </w:p>
    <w:p w14:paraId="452853CD" w14:textId="2B9E7D8A" w:rsidR="00836E5A" w:rsidRPr="00836E5A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11622">
        <w:rPr>
          <w:rFonts w:ascii="Arial" w:eastAsia="Times New Roman" w:hAnsi="Arial" w:cs="Arial"/>
          <w:sz w:val="24"/>
          <w:szCs w:val="24"/>
          <w:lang w:eastAsia="hr-HR"/>
        </w:rPr>
        <w:t>URBROJ: 238-10-02/24-</w:t>
      </w:r>
      <w:r w:rsidR="006A0779">
        <w:rPr>
          <w:rFonts w:ascii="Arial" w:eastAsia="Times New Roman" w:hAnsi="Arial" w:cs="Arial"/>
          <w:sz w:val="24"/>
          <w:szCs w:val="24"/>
          <w:lang w:eastAsia="hr-HR"/>
        </w:rPr>
        <w:t>5</w:t>
      </w:r>
    </w:p>
    <w:p w14:paraId="3723C826" w14:textId="2D226DD0" w:rsidR="00836E5A" w:rsidRPr="00836E5A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6E5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6A0779">
        <w:rPr>
          <w:rFonts w:ascii="Arial" w:eastAsia="Times New Roman" w:hAnsi="Arial" w:cs="Arial"/>
          <w:sz w:val="24"/>
          <w:szCs w:val="24"/>
          <w:lang w:eastAsia="hr-HR"/>
        </w:rPr>
        <w:t>, 24</w:t>
      </w:r>
      <w:r w:rsidRPr="00836E5A">
        <w:rPr>
          <w:rFonts w:ascii="Arial" w:eastAsia="Times New Roman" w:hAnsi="Arial" w:cs="Arial"/>
          <w:sz w:val="24"/>
          <w:szCs w:val="24"/>
          <w:lang w:eastAsia="hr-HR"/>
        </w:rPr>
        <w:t>. siječnja 2024.</w:t>
      </w:r>
    </w:p>
    <w:p w14:paraId="72C22A20" w14:textId="77777777" w:rsidR="00836E5A" w:rsidRPr="00836E5A" w:rsidRDefault="00836E5A" w:rsidP="00836E5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D7030A" w14:textId="77777777" w:rsidR="00836E5A" w:rsidRPr="00836E5A" w:rsidRDefault="00836E5A" w:rsidP="00836E5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GRADSKO VIJEĆE GRADA IVANIĆ-GRADA</w:t>
      </w:r>
    </w:p>
    <w:p w14:paraId="5C9C6262" w14:textId="77777777" w:rsidR="00836E5A" w:rsidRPr="00836E5A" w:rsidRDefault="00836E5A" w:rsidP="00836E5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836E5A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76773BF0" w14:textId="77777777" w:rsidR="00836E5A" w:rsidRPr="00836E5A" w:rsidRDefault="00836E5A" w:rsidP="00836E5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57436D6F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39C6451" w14:textId="5014E06E" w:rsidR="00836E5A" w:rsidRPr="009D7113" w:rsidRDefault="00836E5A" w:rsidP="00836E5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36E5A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PREDMET: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 w:rsidRPr="00836E5A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Prijedlog Odluke o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davanju suglasnosti Muzeju Ivanić-Gr</w:t>
      </w:r>
      <w:r w:rsidR="006A0779">
        <w:rPr>
          <w:rFonts w:ascii="Arial" w:eastAsia="Times New Roman" w:hAnsi="Arial" w:cs="Arial"/>
          <w:b/>
          <w:sz w:val="24"/>
          <w:szCs w:val="24"/>
        </w:rPr>
        <w:t>ada za sklapanje ugovora o operativnom leasingu</w:t>
      </w:r>
    </w:p>
    <w:p w14:paraId="51C1680B" w14:textId="77777777" w:rsidR="00836E5A" w:rsidRPr="009D7113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78A4EC7" w14:textId="77777777" w:rsid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D68874D" w14:textId="4967A0A2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E1B781A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EDB6333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017968A2" w14:textId="77777777" w:rsidR="00836E5A" w:rsidRPr="00836E5A" w:rsidRDefault="00836E5A" w:rsidP="00836E5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9AFBECF" w14:textId="77777777" w:rsidR="00836E5A" w:rsidRPr="00836E5A" w:rsidRDefault="00836E5A" w:rsidP="0083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37C844" w14:textId="77777777" w:rsidR="00836E5A" w:rsidRPr="00836E5A" w:rsidRDefault="00836E5A" w:rsidP="006A0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36E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790C94FB" w14:textId="7A577A17" w:rsidR="006A0779" w:rsidRPr="009D7113" w:rsidRDefault="00836E5A" w:rsidP="006A077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36E5A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davanju suglasnosti Muzeju Ivanić-Grada za</w:t>
      </w:r>
      <w:r w:rsidR="006A0779"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Start w:id="1" w:name="_Hlk157073530"/>
      <w:r w:rsidR="006A0779">
        <w:rPr>
          <w:rFonts w:ascii="Arial" w:eastAsia="Times New Roman" w:hAnsi="Arial" w:cs="Arial"/>
          <w:b/>
          <w:sz w:val="24"/>
          <w:szCs w:val="24"/>
        </w:rPr>
        <w:t>sklapanje ugovora o operativnom leasingu</w:t>
      </w:r>
    </w:p>
    <w:bookmarkEnd w:id="1"/>
    <w:p w14:paraId="2858AD41" w14:textId="72BC6129" w:rsidR="00836E5A" w:rsidRPr="009D7113" w:rsidRDefault="00836E5A" w:rsidP="006A0779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C314538" w14:textId="6CFB5F71" w:rsidR="00836E5A" w:rsidRPr="00836E5A" w:rsidRDefault="00836E5A" w:rsidP="00836E5A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2939266C" w14:textId="6B6196D8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836E5A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836E5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083D61A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CB96742" w14:textId="6222E891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</w:t>
      </w:r>
      <w:r w:rsidR="005526B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je se Tamara Mandić, pročelnica Upravnog odjela za financije i proračun.</w:t>
      </w:r>
    </w:p>
    <w:p w14:paraId="5FBB1136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903456" w14:textId="77777777" w:rsidR="00836E5A" w:rsidRPr="00836E5A" w:rsidRDefault="00836E5A" w:rsidP="00836E5A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05349A6B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E149FCF" w14:textId="77777777" w:rsidR="00836E5A" w:rsidRPr="00836E5A" w:rsidRDefault="00836E5A" w:rsidP="00836E5A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GRADONAČELNIK:</w:t>
      </w:r>
    </w:p>
    <w:p w14:paraId="0843B719" w14:textId="77777777" w:rsidR="00836E5A" w:rsidRPr="00836E5A" w:rsidRDefault="00836E5A" w:rsidP="00836E5A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8D3E6F7" w14:textId="77777777" w:rsidR="00836E5A" w:rsidRPr="00836E5A" w:rsidRDefault="00836E5A" w:rsidP="00836E5A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836E5A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836E5A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4506400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bookmarkEnd w:id="0"/>
    <w:p w14:paraId="243FF38D" w14:textId="77777777" w:rsidR="00B2302C" w:rsidRDefault="00B2302C" w:rsidP="001644BE">
      <w:pPr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44190555" w14:textId="7C7B60DD" w:rsidR="002F63AC" w:rsidRDefault="009D3CB3" w:rsidP="001644BE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="00866A6C" w:rsidRPr="00866A6C">
        <w:rPr>
          <w:rFonts w:ascii="Arial" w:eastAsia="Calibri" w:hAnsi="Arial" w:cs="Arial"/>
          <w:sz w:val="24"/>
          <w:szCs w:val="24"/>
        </w:rPr>
        <w:t>35.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</w:t>
      </w:r>
      <w:r w:rsidR="00836E5A">
        <w:rPr>
          <w:rFonts w:ascii="Arial" w:eastAsia="Calibri" w:hAnsi="Arial" w:cs="Arial"/>
          <w:sz w:val="24"/>
          <w:szCs w:val="24"/>
        </w:rPr>
        <w:t xml:space="preserve">, </w:t>
      </w:r>
      <w:r w:rsidR="00866A6C" w:rsidRPr="00866A6C">
        <w:rPr>
          <w:rFonts w:ascii="Arial" w:eastAsia="Calibri" w:hAnsi="Arial" w:cs="Arial"/>
          <w:sz w:val="24"/>
          <w:szCs w:val="24"/>
        </w:rPr>
        <w:t>129/05, 109/07, 125/08, 36/09, 150/11, 144/12, 19/13</w:t>
      </w:r>
      <w:r w:rsidR="00836E5A">
        <w:rPr>
          <w:rFonts w:ascii="Arial" w:eastAsia="Calibri" w:hAnsi="Arial" w:cs="Arial"/>
          <w:sz w:val="24"/>
          <w:szCs w:val="24"/>
        </w:rPr>
        <w:t xml:space="preserve">, </w:t>
      </w:r>
      <w:r w:rsidR="00866A6C" w:rsidRPr="00866A6C">
        <w:rPr>
          <w:rFonts w:ascii="Arial" w:eastAsia="Calibri" w:hAnsi="Arial" w:cs="Arial"/>
          <w:sz w:val="24"/>
          <w:szCs w:val="24"/>
        </w:rPr>
        <w:t>137/15, 123/17, 98/19, 144/20)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="00866A6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</w:t>
      </w:r>
      <w:r w:rsidR="00836E5A">
        <w:rPr>
          <w:rFonts w:ascii="Arial" w:eastAsia="Calibri" w:hAnsi="Arial" w:cs="Arial"/>
          <w:bCs/>
          <w:sz w:val="24"/>
          <w:szCs w:val="24"/>
        </w:rPr>
        <w:t>4</w:t>
      </w:r>
      <w:r w:rsidRPr="009D3CB3">
        <w:rPr>
          <w:rFonts w:ascii="Arial" w:eastAsia="Calibri" w:hAnsi="Arial" w:cs="Arial"/>
          <w:bCs/>
          <w:sz w:val="24"/>
          <w:szCs w:val="24"/>
        </w:rPr>
        <w:t>. godine donijelo je</w:t>
      </w:r>
    </w:p>
    <w:p w14:paraId="70335069" w14:textId="77777777" w:rsidR="00B67676" w:rsidRDefault="00B67676" w:rsidP="00B67676">
      <w:pPr>
        <w:pStyle w:val="Bezproreda"/>
        <w:jc w:val="center"/>
        <w:rPr>
          <w:lang w:eastAsia="hr-HR"/>
        </w:rPr>
      </w:pPr>
    </w:p>
    <w:p w14:paraId="4049AEC0" w14:textId="7659DAFF" w:rsidR="0029429F" w:rsidRPr="000E273C" w:rsidRDefault="0029429F" w:rsidP="00B67676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927A299" w14:textId="0E37446A" w:rsidR="0029429F" w:rsidRPr="00485B45" w:rsidRDefault="0029429F" w:rsidP="00B2302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>davanju</w:t>
      </w:r>
      <w:r w:rsidR="00485B45">
        <w:rPr>
          <w:rFonts w:ascii="Arial" w:hAnsi="Arial" w:cs="Arial"/>
          <w:b/>
          <w:bCs/>
          <w:sz w:val="24"/>
          <w:szCs w:val="24"/>
        </w:rPr>
        <w:t xml:space="preserve"> </w:t>
      </w:r>
      <w:r w:rsidR="00485B45">
        <w:rPr>
          <w:rFonts w:ascii="Arial" w:eastAsia="Times New Roman" w:hAnsi="Arial" w:cs="Arial"/>
          <w:b/>
          <w:sz w:val="24"/>
          <w:szCs w:val="24"/>
        </w:rPr>
        <w:t>suglasnosti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</w:t>
      </w:r>
      <w:r w:rsidR="00B2302C">
        <w:rPr>
          <w:rFonts w:ascii="Arial" w:eastAsia="Times New Roman" w:hAnsi="Arial" w:cs="Arial"/>
          <w:b/>
          <w:sz w:val="24"/>
          <w:szCs w:val="24"/>
        </w:rPr>
        <w:t xml:space="preserve"> za sklapanje ugovora o operativnom leasingu</w:t>
      </w:r>
    </w:p>
    <w:p w14:paraId="6059A045" w14:textId="77777777" w:rsidR="00B67676" w:rsidRDefault="00B67676" w:rsidP="00B67676">
      <w:pPr>
        <w:pStyle w:val="Bezproreda"/>
        <w:rPr>
          <w:rFonts w:ascii="Arial" w:eastAsia="Times New Roman" w:hAnsi="Arial" w:cs="Arial"/>
          <w:b/>
          <w:bCs/>
          <w:sz w:val="24"/>
          <w:szCs w:val="24"/>
        </w:rPr>
      </w:pPr>
    </w:p>
    <w:p w14:paraId="3F18B017" w14:textId="7BA0BC02" w:rsidR="0029429F" w:rsidRPr="00CF786E" w:rsidRDefault="0029429F" w:rsidP="00B67676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  <w:r w:rsidRPr="00CF786E">
        <w:rPr>
          <w:rFonts w:ascii="Arial" w:eastAsia="Times New Roman" w:hAnsi="Arial" w:cs="Arial"/>
          <w:sz w:val="24"/>
          <w:szCs w:val="24"/>
        </w:rPr>
        <w:t>Članak 1.</w:t>
      </w:r>
    </w:p>
    <w:p w14:paraId="754C81AF" w14:textId="44700AF1" w:rsidR="00626EC6" w:rsidRDefault="000C3A77" w:rsidP="000C3A77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bookmarkStart w:id="2" w:name="_Hlk155701123"/>
      <w:r w:rsidR="00B2302C">
        <w:rPr>
          <w:rFonts w:ascii="Arial" w:eastAsia="Times New Roman" w:hAnsi="Arial" w:cs="Arial"/>
          <w:sz w:val="24"/>
          <w:szCs w:val="24"/>
        </w:rPr>
        <w:t>vom Odlukom daje se suglasnos</w:t>
      </w:r>
      <w:r w:rsidR="00FE60C6">
        <w:rPr>
          <w:rFonts w:ascii="Arial" w:eastAsia="Times New Roman" w:hAnsi="Arial" w:cs="Arial"/>
          <w:sz w:val="24"/>
          <w:szCs w:val="24"/>
        </w:rPr>
        <w:t xml:space="preserve">t </w:t>
      </w:r>
      <w:r w:rsidR="00B2302C">
        <w:rPr>
          <w:rFonts w:ascii="Arial" w:eastAsia="Times New Roman" w:hAnsi="Arial" w:cs="Arial"/>
          <w:sz w:val="24"/>
          <w:szCs w:val="24"/>
        </w:rPr>
        <w:t>za sklapanje Ugovora o operativnom leasingu broj 1084521</w:t>
      </w:r>
      <w:r w:rsidR="00FE60C6">
        <w:rPr>
          <w:rFonts w:ascii="Arial" w:eastAsia="Times New Roman" w:hAnsi="Arial" w:cs="Arial"/>
          <w:sz w:val="24"/>
          <w:szCs w:val="24"/>
        </w:rPr>
        <w:t>, između OTP Leasing d.d.</w:t>
      </w:r>
      <w:r w:rsidR="001C697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1C6971">
        <w:rPr>
          <w:rFonts w:ascii="Arial" w:eastAsia="Times New Roman" w:hAnsi="Arial" w:cs="Arial"/>
          <w:sz w:val="24"/>
          <w:szCs w:val="24"/>
        </w:rPr>
        <w:t>Petrovaradinska</w:t>
      </w:r>
      <w:proofErr w:type="spellEnd"/>
      <w:r w:rsidR="001C6971">
        <w:rPr>
          <w:rFonts w:ascii="Arial" w:eastAsia="Times New Roman" w:hAnsi="Arial" w:cs="Arial"/>
          <w:sz w:val="24"/>
          <w:szCs w:val="24"/>
        </w:rPr>
        <w:t xml:space="preserve"> ulica 1, </w:t>
      </w:r>
      <w:r w:rsidR="00FE60C6">
        <w:rPr>
          <w:rFonts w:ascii="Arial" w:eastAsia="Times New Roman" w:hAnsi="Arial" w:cs="Arial"/>
          <w:sz w:val="24"/>
          <w:szCs w:val="24"/>
        </w:rPr>
        <w:t>Zagreb</w:t>
      </w:r>
      <w:r w:rsidR="001C6971">
        <w:rPr>
          <w:rFonts w:ascii="Arial" w:eastAsia="Times New Roman" w:hAnsi="Arial" w:cs="Arial"/>
          <w:sz w:val="24"/>
          <w:szCs w:val="24"/>
        </w:rPr>
        <w:t xml:space="preserve"> kao davatelja leasinga </w:t>
      </w:r>
      <w:r w:rsidR="00FE60C6">
        <w:rPr>
          <w:rFonts w:ascii="Arial" w:eastAsia="Times New Roman" w:hAnsi="Arial" w:cs="Arial"/>
          <w:sz w:val="24"/>
          <w:szCs w:val="24"/>
        </w:rPr>
        <w:t>i Muzeja Ivanić-Grada</w:t>
      </w:r>
      <w:r w:rsidR="001C6971">
        <w:rPr>
          <w:rFonts w:ascii="Arial" w:eastAsia="Times New Roman" w:hAnsi="Arial" w:cs="Arial"/>
          <w:sz w:val="24"/>
          <w:szCs w:val="24"/>
        </w:rPr>
        <w:t xml:space="preserve">, Park hrvatskih branitelja 1, </w:t>
      </w:r>
      <w:r w:rsidR="00FE60C6">
        <w:rPr>
          <w:rFonts w:ascii="Arial" w:eastAsia="Times New Roman" w:hAnsi="Arial" w:cs="Arial"/>
          <w:sz w:val="24"/>
          <w:szCs w:val="24"/>
        </w:rPr>
        <w:t>Ivanić-Gra</w:t>
      </w:r>
      <w:r w:rsidR="001C6971">
        <w:rPr>
          <w:rFonts w:ascii="Arial" w:eastAsia="Times New Roman" w:hAnsi="Arial" w:cs="Arial"/>
          <w:sz w:val="24"/>
          <w:szCs w:val="24"/>
        </w:rPr>
        <w:t xml:space="preserve">d kao primatelja leasinga, </w:t>
      </w:r>
      <w:r w:rsidR="00B2302C">
        <w:rPr>
          <w:rFonts w:ascii="Arial" w:eastAsia="Times New Roman" w:hAnsi="Arial" w:cs="Arial"/>
          <w:sz w:val="24"/>
          <w:szCs w:val="24"/>
        </w:rPr>
        <w:t>predmet kojeg</w:t>
      </w:r>
      <w:r w:rsidR="00B67676">
        <w:rPr>
          <w:rFonts w:ascii="Arial" w:eastAsia="Times New Roman" w:hAnsi="Arial" w:cs="Arial"/>
          <w:sz w:val="24"/>
          <w:szCs w:val="24"/>
        </w:rPr>
        <w:t xml:space="preserve"> </w:t>
      </w:r>
      <w:r w:rsidR="00B2302C">
        <w:rPr>
          <w:rFonts w:ascii="Arial" w:eastAsia="Times New Roman" w:hAnsi="Arial" w:cs="Arial"/>
          <w:sz w:val="24"/>
          <w:szCs w:val="24"/>
        </w:rPr>
        <w:t>je najam</w:t>
      </w:r>
      <w:r w:rsidR="00626EC6">
        <w:rPr>
          <w:rFonts w:ascii="Arial" w:eastAsia="Times New Roman" w:hAnsi="Arial" w:cs="Arial"/>
          <w:sz w:val="24"/>
          <w:szCs w:val="24"/>
        </w:rPr>
        <w:t xml:space="preserve"> rabljenog vozila </w:t>
      </w:r>
      <w:r w:rsidR="00B67676">
        <w:rPr>
          <w:rFonts w:ascii="Arial" w:eastAsia="Times New Roman" w:hAnsi="Arial" w:cs="Arial"/>
          <w:sz w:val="24"/>
          <w:szCs w:val="24"/>
        </w:rPr>
        <w:t xml:space="preserve">marke </w:t>
      </w:r>
      <w:r w:rsidR="00626EC6">
        <w:rPr>
          <w:rFonts w:ascii="Arial" w:eastAsia="Times New Roman" w:hAnsi="Arial" w:cs="Arial"/>
          <w:sz w:val="24"/>
          <w:szCs w:val="24"/>
        </w:rPr>
        <w:t>RENAULT</w:t>
      </w:r>
      <w:r w:rsidR="00B67676">
        <w:rPr>
          <w:rFonts w:ascii="Arial" w:eastAsia="Times New Roman" w:hAnsi="Arial" w:cs="Arial"/>
          <w:sz w:val="24"/>
          <w:szCs w:val="24"/>
        </w:rPr>
        <w:t xml:space="preserve"> </w:t>
      </w:r>
      <w:r w:rsidR="00626EC6">
        <w:rPr>
          <w:rFonts w:ascii="Arial" w:eastAsia="Times New Roman" w:hAnsi="Arial" w:cs="Arial"/>
          <w:sz w:val="24"/>
          <w:szCs w:val="24"/>
        </w:rPr>
        <w:t>KANGOO 1.5 DCI MAXI</w:t>
      </w:r>
      <w:r w:rsidR="00B67676">
        <w:rPr>
          <w:rFonts w:ascii="Arial" w:eastAsia="Times New Roman" w:hAnsi="Arial" w:cs="Arial"/>
          <w:sz w:val="24"/>
          <w:szCs w:val="24"/>
        </w:rPr>
        <w:t xml:space="preserve"> </w:t>
      </w:r>
      <w:r w:rsidR="00626EC6">
        <w:rPr>
          <w:rFonts w:ascii="Arial" w:eastAsia="Times New Roman" w:hAnsi="Arial" w:cs="Arial"/>
          <w:sz w:val="24"/>
          <w:szCs w:val="24"/>
        </w:rPr>
        <w:t>za potrebe rad</w:t>
      </w:r>
      <w:r w:rsidR="001C6971">
        <w:rPr>
          <w:rFonts w:ascii="Arial" w:eastAsia="Times New Roman" w:hAnsi="Arial" w:cs="Arial"/>
          <w:sz w:val="24"/>
          <w:szCs w:val="24"/>
        </w:rPr>
        <w:t>a Muzeja</w:t>
      </w:r>
      <w:r w:rsidR="00626EC6">
        <w:rPr>
          <w:rFonts w:ascii="Arial" w:eastAsia="Times New Roman" w:hAnsi="Arial" w:cs="Arial"/>
          <w:sz w:val="24"/>
          <w:szCs w:val="24"/>
        </w:rPr>
        <w:t xml:space="preserve">, a prema sljedećim specifikacijama: </w:t>
      </w:r>
    </w:p>
    <w:p w14:paraId="6563B90D" w14:textId="77777777" w:rsidR="00785300" w:rsidRDefault="00785300" w:rsidP="000C3A77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17"/>
        <w:gridCol w:w="4623"/>
        <w:gridCol w:w="3822"/>
      </w:tblGrid>
      <w:tr w:rsidR="00626EC6" w:rsidRPr="00B67676" w14:paraId="2207479F" w14:textId="77777777" w:rsidTr="00D91057">
        <w:tc>
          <w:tcPr>
            <w:tcW w:w="617" w:type="dxa"/>
          </w:tcPr>
          <w:p w14:paraId="126DCF96" w14:textId="11CB3B63" w:rsidR="00626EC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1. </w:t>
            </w:r>
          </w:p>
        </w:tc>
        <w:tc>
          <w:tcPr>
            <w:tcW w:w="4623" w:type="dxa"/>
          </w:tcPr>
          <w:p w14:paraId="19C158BA" w14:textId="52131459" w:rsidR="00626EC6" w:rsidRPr="00B67676" w:rsidRDefault="00B67676" w:rsidP="000C3A7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Objekt leasinga </w:t>
            </w:r>
          </w:p>
        </w:tc>
        <w:tc>
          <w:tcPr>
            <w:tcW w:w="3822" w:type="dxa"/>
          </w:tcPr>
          <w:p w14:paraId="2975A9FE" w14:textId="7D044D11" w:rsidR="00626EC6" w:rsidRPr="001C6971" w:rsidRDefault="00B67676" w:rsidP="000C3A77">
            <w:pPr>
              <w:pStyle w:val="Bezproreda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1C6971">
              <w:rPr>
                <w:rFonts w:ascii="Arial" w:eastAsia="Times New Roman" w:hAnsi="Arial" w:cs="Arial"/>
                <w:b/>
                <w:bCs/>
              </w:rPr>
              <w:t>RENAULT KANGOO 1.5 DCI MAXI</w:t>
            </w:r>
          </w:p>
        </w:tc>
      </w:tr>
      <w:tr w:rsidR="00957DA5" w:rsidRPr="00B67676" w14:paraId="0CDCFB35" w14:textId="77777777" w:rsidTr="00D91057">
        <w:tc>
          <w:tcPr>
            <w:tcW w:w="617" w:type="dxa"/>
          </w:tcPr>
          <w:p w14:paraId="3C4BF8A6" w14:textId="5F7220D2" w:rsidR="00957DA5" w:rsidRPr="00B67676" w:rsidRDefault="00B67676" w:rsidP="00626EC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1.1</w:t>
            </w:r>
          </w:p>
        </w:tc>
        <w:tc>
          <w:tcPr>
            <w:tcW w:w="4623" w:type="dxa"/>
          </w:tcPr>
          <w:p w14:paraId="498ECB1A" w14:textId="55FCCE0A" w:rsidR="00957DA5" w:rsidRPr="00B67676" w:rsidRDefault="00B67676" w:rsidP="000C3A7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Broj šasije / serijski broj </w:t>
            </w:r>
          </w:p>
        </w:tc>
        <w:tc>
          <w:tcPr>
            <w:tcW w:w="3822" w:type="dxa"/>
          </w:tcPr>
          <w:p w14:paraId="06127346" w14:textId="1EB51B4F" w:rsidR="00957DA5" w:rsidRPr="00B67676" w:rsidRDefault="00B67676" w:rsidP="000C3A7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VF1</w:t>
            </w:r>
            <w:r w:rsidR="00D91057">
              <w:rPr>
                <w:rFonts w:ascii="Arial" w:eastAsia="Times New Roman" w:hAnsi="Arial" w:cs="Arial"/>
              </w:rPr>
              <w:t>WF000967454903</w:t>
            </w:r>
          </w:p>
        </w:tc>
      </w:tr>
      <w:tr w:rsidR="00957DA5" w:rsidRPr="00B67676" w14:paraId="4F45DEE6" w14:textId="77777777" w:rsidTr="00D91057">
        <w:tc>
          <w:tcPr>
            <w:tcW w:w="617" w:type="dxa"/>
          </w:tcPr>
          <w:p w14:paraId="16ED1A20" w14:textId="1F5BB405" w:rsidR="00957DA5" w:rsidRPr="00B67676" w:rsidRDefault="00D91057" w:rsidP="00626EC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1.2</w:t>
            </w:r>
          </w:p>
        </w:tc>
        <w:tc>
          <w:tcPr>
            <w:tcW w:w="4623" w:type="dxa"/>
          </w:tcPr>
          <w:p w14:paraId="210FF36D" w14:textId="21FF2888" w:rsidR="00957DA5" w:rsidRPr="00B67676" w:rsidRDefault="00D91057" w:rsidP="000C3A7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Godina proizvodnje </w:t>
            </w:r>
          </w:p>
        </w:tc>
        <w:tc>
          <w:tcPr>
            <w:tcW w:w="3822" w:type="dxa"/>
          </w:tcPr>
          <w:p w14:paraId="7BFA601B" w14:textId="48845DEA" w:rsidR="00957DA5" w:rsidRPr="00B67676" w:rsidRDefault="00D91057" w:rsidP="000C3A7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2021.</w:t>
            </w:r>
          </w:p>
        </w:tc>
      </w:tr>
      <w:tr w:rsidR="00B67676" w:rsidRPr="00B67676" w14:paraId="664D81EC" w14:textId="77777777" w:rsidTr="00D91057">
        <w:tc>
          <w:tcPr>
            <w:tcW w:w="617" w:type="dxa"/>
          </w:tcPr>
          <w:p w14:paraId="06F96DC2" w14:textId="22690EB5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1.</w:t>
            </w:r>
            <w:r w:rsidR="00D9105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623" w:type="dxa"/>
          </w:tcPr>
          <w:p w14:paraId="6BD5AE79" w14:textId="77777777" w:rsidR="00D91057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Nabavna vrijednost objekta leasinga</w:t>
            </w:r>
            <w:r w:rsidR="00D91057">
              <w:rPr>
                <w:rFonts w:ascii="Arial" w:eastAsia="Times New Roman" w:hAnsi="Arial" w:cs="Arial"/>
              </w:rPr>
              <w:t xml:space="preserve"> </w:t>
            </w:r>
          </w:p>
          <w:p w14:paraId="29F464CC" w14:textId="246FB093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neto</w:t>
            </w:r>
            <w:r w:rsidR="00D91057">
              <w:rPr>
                <w:rFonts w:ascii="Arial" w:eastAsia="Times New Roman" w:hAnsi="Arial" w:cs="Arial"/>
              </w:rPr>
              <w:t xml:space="preserve"> </w:t>
            </w:r>
            <w:r w:rsidRPr="00B67676">
              <w:rPr>
                <w:rFonts w:ascii="Arial" w:eastAsia="Times New Roman" w:hAnsi="Arial" w:cs="Arial"/>
              </w:rPr>
              <w:t>/</w:t>
            </w:r>
            <w:r w:rsidR="00D91057">
              <w:rPr>
                <w:rFonts w:ascii="Arial" w:eastAsia="Times New Roman" w:hAnsi="Arial" w:cs="Arial"/>
              </w:rPr>
              <w:t xml:space="preserve">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1FCBBE3A" w14:textId="32D5EDE9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17.760,00 / 22.200,00 EUR</w:t>
            </w:r>
          </w:p>
        </w:tc>
      </w:tr>
      <w:tr w:rsidR="00B67676" w:rsidRPr="00B67676" w14:paraId="6C6C6F79" w14:textId="77777777" w:rsidTr="00D91057">
        <w:tc>
          <w:tcPr>
            <w:tcW w:w="617" w:type="dxa"/>
          </w:tcPr>
          <w:p w14:paraId="0C536A25" w14:textId="1357EBF2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2. </w:t>
            </w:r>
          </w:p>
        </w:tc>
        <w:tc>
          <w:tcPr>
            <w:tcW w:w="4623" w:type="dxa"/>
          </w:tcPr>
          <w:p w14:paraId="771BB693" w14:textId="6FD99C55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Trajanje leasinga</w:t>
            </w:r>
          </w:p>
        </w:tc>
        <w:tc>
          <w:tcPr>
            <w:tcW w:w="3822" w:type="dxa"/>
          </w:tcPr>
          <w:p w14:paraId="7D381AE3" w14:textId="656A8ACB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60 mjeseci</w:t>
            </w:r>
          </w:p>
        </w:tc>
      </w:tr>
      <w:tr w:rsidR="00B67676" w:rsidRPr="00B67676" w14:paraId="70C1F3F8" w14:textId="77777777" w:rsidTr="00D91057">
        <w:tc>
          <w:tcPr>
            <w:tcW w:w="617" w:type="dxa"/>
          </w:tcPr>
          <w:p w14:paraId="16FD5C49" w14:textId="1E6ACCC9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3. </w:t>
            </w:r>
          </w:p>
        </w:tc>
        <w:tc>
          <w:tcPr>
            <w:tcW w:w="4623" w:type="dxa"/>
          </w:tcPr>
          <w:p w14:paraId="69A1F91C" w14:textId="77777777" w:rsidR="00D91057" w:rsidRDefault="00B67676" w:rsidP="00D91057">
            <w:pPr>
              <w:pStyle w:val="Bezproreda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Ostatak vrijednosti objekta leasinga </w:t>
            </w:r>
          </w:p>
          <w:p w14:paraId="10CA2295" w14:textId="05DE8E94" w:rsidR="00B67676" w:rsidRPr="00B67676" w:rsidRDefault="00B67676" w:rsidP="00D91057">
            <w:pPr>
              <w:pStyle w:val="Bezproreda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neto</w:t>
            </w:r>
            <w:r w:rsidR="00D91057"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359D5B3D" w14:textId="63CFDA31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3.552,00 / 4.440,00 EUR</w:t>
            </w:r>
          </w:p>
        </w:tc>
      </w:tr>
      <w:tr w:rsidR="00B67676" w:rsidRPr="00B67676" w14:paraId="3C22EE9B" w14:textId="77777777" w:rsidTr="00D91057">
        <w:tc>
          <w:tcPr>
            <w:tcW w:w="617" w:type="dxa"/>
          </w:tcPr>
          <w:p w14:paraId="5BB975DE" w14:textId="7ACD2CE1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4. </w:t>
            </w:r>
          </w:p>
        </w:tc>
        <w:tc>
          <w:tcPr>
            <w:tcW w:w="4623" w:type="dxa"/>
          </w:tcPr>
          <w:p w14:paraId="74EB9A64" w14:textId="7BA3E279" w:rsidR="00B67676" w:rsidRPr="000C423A" w:rsidRDefault="002D3ED5" w:rsidP="00B67676">
            <w:pPr>
              <w:pStyle w:val="Bezproreda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0C423A">
              <w:rPr>
                <w:rFonts w:ascii="Arial" w:eastAsia="Times New Roman" w:hAnsi="Arial" w:cs="Arial"/>
                <w:b/>
                <w:bCs/>
              </w:rPr>
              <w:t>N</w:t>
            </w:r>
            <w:r w:rsidR="00BC44E4" w:rsidRPr="000C423A">
              <w:rPr>
                <w:rFonts w:ascii="Arial" w:eastAsia="Times New Roman" w:hAnsi="Arial" w:cs="Arial"/>
                <w:b/>
                <w:bCs/>
              </w:rPr>
              <w:t xml:space="preserve">aknada za leasing </w:t>
            </w:r>
          </w:p>
        </w:tc>
        <w:tc>
          <w:tcPr>
            <w:tcW w:w="3822" w:type="dxa"/>
          </w:tcPr>
          <w:p w14:paraId="0D8ED8E1" w14:textId="77777777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</w:p>
        </w:tc>
      </w:tr>
      <w:tr w:rsidR="00B67676" w:rsidRPr="00B67676" w14:paraId="5C1ACFB0" w14:textId="77777777" w:rsidTr="00D91057">
        <w:tc>
          <w:tcPr>
            <w:tcW w:w="617" w:type="dxa"/>
          </w:tcPr>
          <w:p w14:paraId="232872FF" w14:textId="528FB00E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</w:t>
            </w:r>
            <w:r w:rsidR="00BC44E4">
              <w:rPr>
                <w:rFonts w:ascii="Arial" w:eastAsia="Times New Roman" w:hAnsi="Arial" w:cs="Arial"/>
              </w:rPr>
              <w:t>1</w:t>
            </w:r>
            <w:r w:rsidRPr="00B6767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623" w:type="dxa"/>
          </w:tcPr>
          <w:p w14:paraId="61D06D70" w14:textId="6A86BC55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Obrok naknade za leasing neto</w:t>
            </w:r>
            <w:r w:rsidR="00D91057"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1403427F" w14:textId="4D917886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240,96</w:t>
            </w:r>
            <w:r w:rsidR="00D91057"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409,16 EUR</w:t>
            </w:r>
          </w:p>
        </w:tc>
      </w:tr>
      <w:tr w:rsidR="00B67676" w:rsidRPr="00B67676" w14:paraId="4DF98349" w14:textId="77777777" w:rsidTr="00D91057">
        <w:tc>
          <w:tcPr>
            <w:tcW w:w="617" w:type="dxa"/>
          </w:tcPr>
          <w:p w14:paraId="0B9E6CB5" w14:textId="10AB7A89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4.2</w:t>
            </w:r>
          </w:p>
        </w:tc>
        <w:tc>
          <w:tcPr>
            <w:tcW w:w="4623" w:type="dxa"/>
          </w:tcPr>
          <w:p w14:paraId="57BD0018" w14:textId="0D07F5D0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Broj obroka</w:t>
            </w:r>
          </w:p>
        </w:tc>
        <w:tc>
          <w:tcPr>
            <w:tcW w:w="3822" w:type="dxa"/>
          </w:tcPr>
          <w:p w14:paraId="08B9763C" w14:textId="6515DBD6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60</w:t>
            </w:r>
          </w:p>
        </w:tc>
      </w:tr>
      <w:tr w:rsidR="00B67676" w:rsidRPr="00B67676" w14:paraId="28F3B5AE" w14:textId="77777777" w:rsidTr="00D91057">
        <w:tc>
          <w:tcPr>
            <w:tcW w:w="617" w:type="dxa"/>
          </w:tcPr>
          <w:p w14:paraId="782E56CA" w14:textId="105620EB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4.3</w:t>
            </w:r>
            <w:r w:rsidR="00D91057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623" w:type="dxa"/>
          </w:tcPr>
          <w:p w14:paraId="24C48A55" w14:textId="785AD451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Posebna najamnina net</w:t>
            </w:r>
            <w:r w:rsidR="00D91057">
              <w:rPr>
                <w:rFonts w:ascii="Arial" w:eastAsia="Times New Roman" w:hAnsi="Arial" w:cs="Arial"/>
              </w:rPr>
              <w:t xml:space="preserve">o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22FB979A" w14:textId="1544C485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3.552,00</w:t>
            </w:r>
            <w:r w:rsidR="00D91057"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4.440,00 EUR</w:t>
            </w:r>
          </w:p>
        </w:tc>
      </w:tr>
      <w:tr w:rsidR="00B67676" w:rsidRPr="00B67676" w14:paraId="608D92B3" w14:textId="77777777" w:rsidTr="00D91057">
        <w:tc>
          <w:tcPr>
            <w:tcW w:w="617" w:type="dxa"/>
          </w:tcPr>
          <w:p w14:paraId="288D99AC" w14:textId="1EF91264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4.4</w:t>
            </w:r>
          </w:p>
        </w:tc>
        <w:tc>
          <w:tcPr>
            <w:tcW w:w="4623" w:type="dxa"/>
          </w:tcPr>
          <w:p w14:paraId="22F15290" w14:textId="77777777" w:rsidR="00D91057" w:rsidRDefault="00B67676" w:rsidP="00D9105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Ukupna naknada bez troška obrade </w:t>
            </w:r>
          </w:p>
          <w:p w14:paraId="5B4D1D92" w14:textId="7A978C61" w:rsidR="00B67676" w:rsidRPr="00B67676" w:rsidRDefault="00B67676" w:rsidP="00D9105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neto</w:t>
            </w:r>
            <w:r w:rsidR="00D91057"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38744BD2" w14:textId="409F2730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18.009,60 / 28.989,60 EUR</w:t>
            </w:r>
          </w:p>
        </w:tc>
      </w:tr>
      <w:tr w:rsidR="00BC44E4" w:rsidRPr="00B67676" w14:paraId="6014543B" w14:textId="77777777" w:rsidTr="00D91057">
        <w:tc>
          <w:tcPr>
            <w:tcW w:w="617" w:type="dxa"/>
          </w:tcPr>
          <w:p w14:paraId="1424E733" w14:textId="61DAAAB0" w:rsidR="00BC44E4" w:rsidRPr="00B67676" w:rsidRDefault="00BC44E4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4.5</w:t>
            </w:r>
          </w:p>
        </w:tc>
        <w:tc>
          <w:tcPr>
            <w:tcW w:w="4623" w:type="dxa"/>
          </w:tcPr>
          <w:p w14:paraId="1915BD8B" w14:textId="77777777" w:rsidR="00BC44E4" w:rsidRDefault="00BC44E4" w:rsidP="00BC44E4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Ukupna naknada s troškom obrade </w:t>
            </w:r>
          </w:p>
          <w:p w14:paraId="66C63A62" w14:textId="72153E02" w:rsidR="00BC44E4" w:rsidRPr="00B67676" w:rsidRDefault="00BC44E4" w:rsidP="00BC44E4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</w:t>
            </w:r>
            <w:r w:rsidRPr="00B67676">
              <w:rPr>
                <w:rFonts w:ascii="Arial" w:eastAsia="Times New Roman" w:hAnsi="Arial" w:cs="Arial"/>
              </w:rPr>
              <w:t>eto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5DBABDE8" w14:textId="3F47DB30" w:rsidR="00BC44E4" w:rsidRPr="00B67676" w:rsidRDefault="00BC44E4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18.187,20 / 29.211,60 EUR</w:t>
            </w:r>
          </w:p>
        </w:tc>
      </w:tr>
      <w:tr w:rsidR="00D91057" w:rsidRPr="00B67676" w14:paraId="5859605C" w14:textId="77777777" w:rsidTr="00D91057">
        <w:tc>
          <w:tcPr>
            <w:tcW w:w="617" w:type="dxa"/>
          </w:tcPr>
          <w:p w14:paraId="631AD590" w14:textId="3BA8F5EF" w:rsidR="00D91057" w:rsidRPr="00B67676" w:rsidRDefault="00D91057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4.5</w:t>
            </w:r>
          </w:p>
        </w:tc>
        <w:tc>
          <w:tcPr>
            <w:tcW w:w="4623" w:type="dxa"/>
          </w:tcPr>
          <w:p w14:paraId="177FDC44" w14:textId="1BD8ED17" w:rsidR="00D91057" w:rsidRPr="00B67676" w:rsidRDefault="00D91057" w:rsidP="00D91057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Trošak obrade neto</w:t>
            </w:r>
            <w:r w:rsidR="00785300"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1F31E636" w14:textId="3BA58F0A" w:rsidR="00D91057" w:rsidRPr="00B67676" w:rsidRDefault="00785300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177,60 / 222,00 EUR</w:t>
            </w:r>
          </w:p>
        </w:tc>
      </w:tr>
      <w:tr w:rsidR="00B67676" w:rsidRPr="00B67676" w14:paraId="411DBC63" w14:textId="77777777" w:rsidTr="00D91057">
        <w:tc>
          <w:tcPr>
            <w:tcW w:w="617" w:type="dxa"/>
          </w:tcPr>
          <w:p w14:paraId="3241CDF2" w14:textId="0079A892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</w:t>
            </w:r>
            <w:r w:rsidR="0078530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623" w:type="dxa"/>
          </w:tcPr>
          <w:p w14:paraId="21868C7D" w14:textId="438214E9" w:rsidR="00B67676" w:rsidRPr="00B67676" w:rsidRDefault="00BC44E4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Nominalna kamatna stopa </w:t>
            </w:r>
          </w:p>
        </w:tc>
        <w:tc>
          <w:tcPr>
            <w:tcW w:w="3822" w:type="dxa"/>
          </w:tcPr>
          <w:p w14:paraId="41C86D81" w14:textId="4AB1277E" w:rsidR="00B67676" w:rsidRPr="00B67676" w:rsidRDefault="00BC44E4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8,15 % nepromjenjiva </w:t>
            </w:r>
          </w:p>
        </w:tc>
      </w:tr>
      <w:tr w:rsidR="00B67676" w:rsidRPr="00B67676" w14:paraId="43357A34" w14:textId="77777777" w:rsidTr="00D91057">
        <w:tc>
          <w:tcPr>
            <w:tcW w:w="617" w:type="dxa"/>
          </w:tcPr>
          <w:p w14:paraId="7967BBE7" w14:textId="15F1AD3C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5. </w:t>
            </w:r>
          </w:p>
        </w:tc>
        <w:tc>
          <w:tcPr>
            <w:tcW w:w="4623" w:type="dxa"/>
          </w:tcPr>
          <w:p w14:paraId="1BA08422" w14:textId="36A33C94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Instrumenti osiguranja </w:t>
            </w:r>
          </w:p>
        </w:tc>
        <w:tc>
          <w:tcPr>
            <w:tcW w:w="3822" w:type="dxa"/>
          </w:tcPr>
          <w:p w14:paraId="2B2CC46A" w14:textId="77777777" w:rsid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Obična zadužnica primatelja leasinga</w:t>
            </w:r>
          </w:p>
          <w:p w14:paraId="77F9BF86" w14:textId="249E2086" w:rsidR="001C6971" w:rsidRPr="00B67676" w:rsidRDefault="001C6971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na iznos od 14.208,00 EUR </w:t>
            </w:r>
          </w:p>
        </w:tc>
      </w:tr>
      <w:tr w:rsidR="00B67676" w:rsidRPr="00B67676" w14:paraId="7598BFF7" w14:textId="77777777" w:rsidTr="00D91057">
        <w:tc>
          <w:tcPr>
            <w:tcW w:w="617" w:type="dxa"/>
          </w:tcPr>
          <w:p w14:paraId="3EB9B0F5" w14:textId="03C47051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4623" w:type="dxa"/>
          </w:tcPr>
          <w:p w14:paraId="74C68975" w14:textId="1B5CDD33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Ugovoreni broj kilometara ili radnih sati godišnje</w:t>
            </w:r>
          </w:p>
        </w:tc>
        <w:tc>
          <w:tcPr>
            <w:tcW w:w="3822" w:type="dxa"/>
          </w:tcPr>
          <w:p w14:paraId="7F944144" w14:textId="5B1D123A" w:rsidR="00B67676" w:rsidRPr="00B67676" w:rsidRDefault="00B67676" w:rsidP="00B67676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25.000</w:t>
            </w:r>
          </w:p>
        </w:tc>
      </w:tr>
    </w:tbl>
    <w:p w14:paraId="1DD40593" w14:textId="77777777" w:rsidR="00626EC6" w:rsidRPr="00B67676" w:rsidRDefault="00626EC6" w:rsidP="000C3A77">
      <w:pPr>
        <w:pStyle w:val="Bezproreda"/>
        <w:jc w:val="both"/>
        <w:rPr>
          <w:rFonts w:ascii="Arial" w:eastAsia="Times New Roman" w:hAnsi="Arial" w:cs="Arial"/>
        </w:rPr>
      </w:pPr>
    </w:p>
    <w:bookmarkEnd w:id="2"/>
    <w:p w14:paraId="135145BC" w14:textId="5B456FEF" w:rsidR="00FB4C4F" w:rsidRDefault="001644BE" w:rsidP="00785300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CF786E">
        <w:rPr>
          <w:rFonts w:ascii="Arial" w:eastAsia="Times New Roman" w:hAnsi="Arial" w:cs="Arial"/>
          <w:sz w:val="24"/>
          <w:lang w:val="hr-BA" w:eastAsia="hr-HR"/>
        </w:rPr>
        <w:t>Č</w:t>
      </w:r>
      <w:r w:rsidR="00FB4C4F" w:rsidRPr="00CF786E">
        <w:rPr>
          <w:rFonts w:ascii="Arial" w:eastAsia="Times New Roman" w:hAnsi="Arial" w:cs="Arial"/>
          <w:sz w:val="24"/>
          <w:lang w:val="hr-BA" w:eastAsia="hr-HR"/>
        </w:rPr>
        <w:t>lanak 2.</w:t>
      </w:r>
    </w:p>
    <w:p w14:paraId="127E2809" w14:textId="0CD29400" w:rsidR="001C6971" w:rsidRPr="001C6971" w:rsidRDefault="000E273C" w:rsidP="001C6971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Ova Odluka stupa na snagu</w:t>
      </w:r>
      <w:r w:rsidR="00A52952">
        <w:rPr>
          <w:rFonts w:ascii="Arial" w:hAnsi="Arial" w:cs="Arial"/>
          <w:color w:val="000000"/>
          <w:sz w:val="24"/>
          <w:szCs w:val="24"/>
          <w:lang w:eastAsia="hr-HR"/>
        </w:rPr>
        <w:t xml:space="preserve"> prvog</w:t>
      </w:r>
      <w:r w:rsidR="006D0BCF">
        <w:rPr>
          <w:rFonts w:ascii="Arial" w:hAnsi="Arial" w:cs="Arial"/>
          <w:color w:val="000000"/>
          <w:sz w:val="24"/>
          <w:szCs w:val="24"/>
          <w:lang w:eastAsia="hr-HR"/>
        </w:rPr>
        <w:t xml:space="preserve">a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dana od dana objave u Službenom glasniku Grada Ivanić-Grada.</w:t>
      </w:r>
    </w:p>
    <w:p w14:paraId="253DC21B" w14:textId="55394E50" w:rsidR="000E273C" w:rsidRPr="000E273C" w:rsidRDefault="000E273C" w:rsidP="0078530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3D2230BC" w14:textId="0584765B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718FC03E" w14:textId="0FC8B926" w:rsidR="00957DA5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</w:t>
      </w:r>
      <w:r w:rsidR="00836E5A">
        <w:rPr>
          <w:rFonts w:ascii="Arial" w:hAnsi="Arial" w:cs="Arial"/>
          <w:sz w:val="24"/>
          <w:szCs w:val="24"/>
        </w:rPr>
        <w:t>4</w:t>
      </w:r>
      <w:r w:rsidRPr="000E273C">
        <w:rPr>
          <w:rFonts w:ascii="Arial" w:hAnsi="Arial" w:cs="Arial"/>
          <w:sz w:val="24"/>
          <w:szCs w:val="24"/>
        </w:rPr>
        <w:t>.                              Željko Pongrac, pravnik krimina</w:t>
      </w:r>
      <w:r w:rsidR="00CF786E">
        <w:rPr>
          <w:rFonts w:ascii="Arial" w:hAnsi="Arial" w:cs="Arial"/>
          <w:sz w:val="24"/>
          <w:szCs w:val="24"/>
        </w:rPr>
        <w:t>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3" w:name="_Hlk107747300"/>
            <w:bookmarkStart w:id="4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45A3C64" w14:textId="77777777" w:rsidR="00B67676" w:rsidRDefault="00B67676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2AAD62A6" w14:textId="77777777" w:rsidR="00B67676" w:rsidRDefault="00B67676" w:rsidP="00B6767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</w:t>
            </w:r>
            <w:r w:rsidRPr="00B67676">
              <w:rPr>
                <w:rFonts w:ascii="Arial" w:eastAsia="Times New Roman" w:hAnsi="Arial" w:cs="Arial"/>
                <w:bCs/>
                <w:sz w:val="24"/>
                <w:szCs w:val="24"/>
              </w:rPr>
              <w:t>o davanju suglasnosti Muzeju Ivanić-Grada za sklapanje ugovora o operativnom leasingu</w:t>
            </w:r>
          </w:p>
          <w:p w14:paraId="41E2F164" w14:textId="179E1582" w:rsidR="00B67676" w:rsidRPr="00B67676" w:rsidRDefault="00B67676" w:rsidP="00B67676">
            <w:pPr>
              <w:pStyle w:val="Bezproreda"/>
            </w:pPr>
          </w:p>
        </w:tc>
      </w:tr>
      <w:bookmarkEnd w:id="3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772D157B" w:rsidR="0074025A" w:rsidRPr="0074025A" w:rsidRDefault="00B67676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</w:t>
            </w:r>
            <w:bookmarkStart w:id="5" w:name="_Hlk157083941"/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članka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35.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  <w:bookmarkEnd w:id="5"/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09E9F524" w14:textId="51FCAF98" w:rsidR="002D3ED5" w:rsidRDefault="0074025A" w:rsidP="00546B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D3ED5">
        <w:rPr>
          <w:rFonts w:ascii="Arial" w:hAnsi="Arial" w:cs="Arial"/>
          <w:b/>
          <w:bCs/>
          <w:sz w:val="24"/>
          <w:szCs w:val="24"/>
        </w:rPr>
        <w:t>OBRAZLOŽENJE</w:t>
      </w:r>
      <w:r w:rsidR="002D3ED5">
        <w:rPr>
          <w:rFonts w:ascii="Arial" w:hAnsi="Arial" w:cs="Arial"/>
          <w:b/>
          <w:bCs/>
          <w:sz w:val="24"/>
          <w:szCs w:val="24"/>
        </w:rPr>
        <w:t>:</w:t>
      </w:r>
    </w:p>
    <w:p w14:paraId="1A4126B6" w14:textId="5076DF92" w:rsidR="00E7194D" w:rsidRDefault="00BC44E4" w:rsidP="00546B71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članka </w:t>
      </w:r>
      <w:r w:rsidRPr="00866A6C">
        <w:rPr>
          <w:rFonts w:ascii="Arial" w:eastAsia="Calibri" w:hAnsi="Arial" w:cs="Arial"/>
          <w:sz w:val="24"/>
          <w:szCs w:val="24"/>
        </w:rPr>
        <w:t>35.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866A6C">
        <w:rPr>
          <w:rFonts w:ascii="Arial" w:eastAsia="Calibri" w:hAnsi="Arial" w:cs="Arial"/>
          <w:sz w:val="24"/>
          <w:szCs w:val="24"/>
        </w:rPr>
        <w:t>129/05, 109/07, 125/08, 36/09, 150/11, 144/12, 19/13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866A6C">
        <w:rPr>
          <w:rFonts w:ascii="Arial" w:eastAsia="Calibri" w:hAnsi="Arial" w:cs="Arial"/>
          <w:sz w:val="24"/>
          <w:szCs w:val="24"/>
        </w:rPr>
        <w:t>137/15, 123/17, 98/19, 144/20)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66A6C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69FBCFC" w14:textId="77777777" w:rsidR="00E7194D" w:rsidRDefault="00E7194D" w:rsidP="00E7194D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49. Statuta Muzeja Ivanić-Grada propisano je da bez suglasnosti Grada Ivanić-Grada kao osnivača, Muzej nema pravo na stjecanje, opterećenje ili otuđivanje nekretnina ili druge imovine čija pojedinačna vrijednost prelazi vrijednost u iznosu od 50.000,00 kuna (odnosno 6.636,14 eura, prema fiksnom tečaju konverzije: 1 euro = 7,53450 kuna). </w:t>
      </w:r>
    </w:p>
    <w:p w14:paraId="4F6E5F9E" w14:textId="3F1A3B61" w:rsidR="00E7194D" w:rsidRDefault="00237208" w:rsidP="00E7194D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S obziro</w:t>
      </w:r>
      <w:r w:rsidR="00241A94">
        <w:rPr>
          <w:rFonts w:ascii="Arial" w:eastAsia="Times New Roman" w:hAnsi="Arial" w:cs="Arial"/>
          <w:sz w:val="24"/>
          <w:lang w:val="hr-BA" w:eastAsia="hr-HR"/>
        </w:rPr>
        <w:t xml:space="preserve">m </w:t>
      </w:r>
      <w:r>
        <w:rPr>
          <w:rFonts w:ascii="Arial" w:eastAsia="Times New Roman" w:hAnsi="Arial" w:cs="Arial"/>
          <w:sz w:val="24"/>
          <w:lang w:val="hr-BA" w:eastAsia="hr-HR"/>
        </w:rPr>
        <w:t>na to da Gradsko vijeće Grada Ivanić-Grada obavlja prava i dužnos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ti </w:t>
      </w:r>
      <w:r w:rsidR="001E012B" w:rsidRPr="001E012B">
        <w:rPr>
          <w:rFonts w:ascii="Arial" w:eastAsia="Times New Roman" w:hAnsi="Arial" w:cs="Arial"/>
          <w:sz w:val="24"/>
          <w:lang w:val="hr-BA" w:eastAsia="hr-HR"/>
        </w:rPr>
        <w:t>Grada Ivanić-Grada kao osnivača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Muzeja Ivanić-Grada, ovom </w:t>
      </w:r>
      <w:r w:rsidR="00D47F56">
        <w:rPr>
          <w:rFonts w:ascii="Arial" w:eastAsia="Times New Roman" w:hAnsi="Arial" w:cs="Arial"/>
          <w:sz w:val="24"/>
          <w:lang w:val="hr-BA" w:eastAsia="hr-HR"/>
        </w:rPr>
        <w:t>Odlukom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daje 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se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suglasnost </w:t>
      </w:r>
      <w:r w:rsidR="00546B71">
        <w:rPr>
          <w:rFonts w:ascii="Arial" w:eastAsia="Times New Roman" w:hAnsi="Arial" w:cs="Arial"/>
          <w:sz w:val="24"/>
          <w:lang w:val="hr-BA" w:eastAsia="hr-HR"/>
        </w:rPr>
        <w:t xml:space="preserve">Muzeju Ivanić-Grada za </w:t>
      </w:r>
      <w:r w:rsidR="00E7194D">
        <w:rPr>
          <w:rFonts w:ascii="Arial" w:eastAsia="Times New Roman" w:hAnsi="Arial" w:cs="Arial"/>
          <w:sz w:val="24"/>
          <w:szCs w:val="24"/>
        </w:rPr>
        <w:t>sklapanje Ugovora o operativnom leasingu broj 1084521</w:t>
      </w:r>
      <w:r w:rsidR="00241A94">
        <w:rPr>
          <w:rFonts w:ascii="Arial" w:eastAsia="Times New Roman" w:hAnsi="Arial" w:cs="Arial"/>
          <w:sz w:val="24"/>
          <w:szCs w:val="24"/>
        </w:rPr>
        <w:t xml:space="preserve"> sa </w:t>
      </w:r>
      <w:r w:rsidR="00E7194D">
        <w:rPr>
          <w:rFonts w:ascii="Arial" w:eastAsia="Times New Roman" w:hAnsi="Arial" w:cs="Arial"/>
          <w:sz w:val="24"/>
          <w:szCs w:val="24"/>
        </w:rPr>
        <w:t xml:space="preserve">OTP Leasing d.d., </w:t>
      </w:r>
      <w:proofErr w:type="spellStart"/>
      <w:r w:rsidR="00E7194D">
        <w:rPr>
          <w:rFonts w:ascii="Arial" w:eastAsia="Times New Roman" w:hAnsi="Arial" w:cs="Arial"/>
          <w:sz w:val="24"/>
          <w:szCs w:val="24"/>
        </w:rPr>
        <w:t>Petrovaradinska</w:t>
      </w:r>
      <w:proofErr w:type="spellEnd"/>
      <w:r w:rsidR="00E7194D">
        <w:rPr>
          <w:rFonts w:ascii="Arial" w:eastAsia="Times New Roman" w:hAnsi="Arial" w:cs="Arial"/>
          <w:sz w:val="24"/>
          <w:szCs w:val="24"/>
        </w:rPr>
        <w:t xml:space="preserve"> ulica 1, Zagreb kao</w:t>
      </w:r>
      <w:r w:rsidR="00241A94">
        <w:rPr>
          <w:rFonts w:ascii="Arial" w:eastAsia="Times New Roman" w:hAnsi="Arial" w:cs="Arial"/>
          <w:sz w:val="24"/>
          <w:szCs w:val="24"/>
        </w:rPr>
        <w:t xml:space="preserve"> davateljem </w:t>
      </w:r>
      <w:r w:rsidR="00E7194D">
        <w:rPr>
          <w:rFonts w:ascii="Arial" w:eastAsia="Times New Roman" w:hAnsi="Arial" w:cs="Arial"/>
          <w:sz w:val="24"/>
          <w:szCs w:val="24"/>
        </w:rPr>
        <w:t>leasinga</w:t>
      </w:r>
      <w:r w:rsidR="00241A94">
        <w:rPr>
          <w:rFonts w:ascii="Arial" w:eastAsia="Times New Roman" w:hAnsi="Arial" w:cs="Arial"/>
          <w:sz w:val="24"/>
          <w:szCs w:val="24"/>
        </w:rPr>
        <w:t xml:space="preserve">, </w:t>
      </w:r>
      <w:r w:rsidR="00E7194D">
        <w:rPr>
          <w:rFonts w:ascii="Arial" w:eastAsia="Times New Roman" w:hAnsi="Arial" w:cs="Arial"/>
          <w:sz w:val="24"/>
          <w:szCs w:val="24"/>
        </w:rPr>
        <w:t>predmet kojeg je najam rabljenog vozila marke RENAULT KANGOO 1.5 DCI MAXI za potrebe rada Muzeja</w:t>
      </w:r>
      <w:r w:rsidR="00241A94">
        <w:rPr>
          <w:rFonts w:ascii="Arial" w:eastAsia="Times New Roman" w:hAnsi="Arial" w:cs="Arial"/>
          <w:sz w:val="24"/>
          <w:szCs w:val="24"/>
        </w:rPr>
        <w:t xml:space="preserve">, </w:t>
      </w:r>
      <w:r w:rsidR="00E7194D">
        <w:rPr>
          <w:rFonts w:ascii="Arial" w:eastAsia="Times New Roman" w:hAnsi="Arial" w:cs="Arial"/>
          <w:sz w:val="24"/>
          <w:szCs w:val="24"/>
        </w:rPr>
        <w:t xml:space="preserve">a prema sljedećim specifikacijama: </w:t>
      </w:r>
    </w:p>
    <w:p w14:paraId="585702F8" w14:textId="77777777" w:rsidR="00E7194D" w:rsidRDefault="00E7194D" w:rsidP="00E7194D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17"/>
        <w:gridCol w:w="4623"/>
        <w:gridCol w:w="3822"/>
      </w:tblGrid>
      <w:tr w:rsidR="00E7194D" w:rsidRPr="00B67676" w14:paraId="5FB09AB5" w14:textId="77777777" w:rsidTr="00405EE8">
        <w:tc>
          <w:tcPr>
            <w:tcW w:w="617" w:type="dxa"/>
          </w:tcPr>
          <w:p w14:paraId="1D19C461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1. </w:t>
            </w:r>
          </w:p>
        </w:tc>
        <w:tc>
          <w:tcPr>
            <w:tcW w:w="4623" w:type="dxa"/>
          </w:tcPr>
          <w:p w14:paraId="008F8061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Objekt leasinga </w:t>
            </w:r>
          </w:p>
        </w:tc>
        <w:tc>
          <w:tcPr>
            <w:tcW w:w="3822" w:type="dxa"/>
          </w:tcPr>
          <w:p w14:paraId="1C3CB320" w14:textId="77777777" w:rsidR="00E7194D" w:rsidRPr="001C6971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1C6971">
              <w:rPr>
                <w:rFonts w:ascii="Arial" w:eastAsia="Times New Roman" w:hAnsi="Arial" w:cs="Arial"/>
                <w:b/>
                <w:bCs/>
              </w:rPr>
              <w:t>RENAULT KANGOO 1.5 DCI MAXI</w:t>
            </w:r>
          </w:p>
        </w:tc>
      </w:tr>
      <w:tr w:rsidR="00E7194D" w:rsidRPr="00B67676" w14:paraId="15D2E679" w14:textId="77777777" w:rsidTr="00405EE8">
        <w:tc>
          <w:tcPr>
            <w:tcW w:w="617" w:type="dxa"/>
          </w:tcPr>
          <w:p w14:paraId="152BED0F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1.1</w:t>
            </w:r>
          </w:p>
        </w:tc>
        <w:tc>
          <w:tcPr>
            <w:tcW w:w="4623" w:type="dxa"/>
          </w:tcPr>
          <w:p w14:paraId="51320568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Broj šasije / serijski broj </w:t>
            </w:r>
          </w:p>
        </w:tc>
        <w:tc>
          <w:tcPr>
            <w:tcW w:w="3822" w:type="dxa"/>
          </w:tcPr>
          <w:p w14:paraId="07064006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VF1WF000967454903</w:t>
            </w:r>
          </w:p>
        </w:tc>
      </w:tr>
      <w:tr w:rsidR="00E7194D" w:rsidRPr="00B67676" w14:paraId="7D7A7506" w14:textId="77777777" w:rsidTr="00405EE8">
        <w:tc>
          <w:tcPr>
            <w:tcW w:w="617" w:type="dxa"/>
          </w:tcPr>
          <w:p w14:paraId="56E05D96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1.2</w:t>
            </w:r>
          </w:p>
        </w:tc>
        <w:tc>
          <w:tcPr>
            <w:tcW w:w="4623" w:type="dxa"/>
          </w:tcPr>
          <w:p w14:paraId="78733515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Godina proizvodnje </w:t>
            </w:r>
          </w:p>
        </w:tc>
        <w:tc>
          <w:tcPr>
            <w:tcW w:w="3822" w:type="dxa"/>
          </w:tcPr>
          <w:p w14:paraId="76C84E8D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2021.</w:t>
            </w:r>
          </w:p>
        </w:tc>
      </w:tr>
      <w:tr w:rsidR="00E7194D" w:rsidRPr="00B67676" w14:paraId="4DAB5B7B" w14:textId="77777777" w:rsidTr="00405EE8">
        <w:tc>
          <w:tcPr>
            <w:tcW w:w="617" w:type="dxa"/>
          </w:tcPr>
          <w:p w14:paraId="5DE8667B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1.</w:t>
            </w: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623" w:type="dxa"/>
          </w:tcPr>
          <w:p w14:paraId="37B06DE7" w14:textId="77777777" w:rsidR="00E7194D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Nabavna vrijednost objekta leasinga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14:paraId="0674FC01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neto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B67676">
              <w:rPr>
                <w:rFonts w:ascii="Arial" w:eastAsia="Times New Roman" w:hAnsi="Arial" w:cs="Arial"/>
              </w:rPr>
              <w:t>/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50F477F9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17.760,00 / 22.200,00 EUR</w:t>
            </w:r>
          </w:p>
        </w:tc>
      </w:tr>
      <w:tr w:rsidR="00E7194D" w:rsidRPr="00B67676" w14:paraId="0A35607C" w14:textId="77777777" w:rsidTr="00405EE8">
        <w:tc>
          <w:tcPr>
            <w:tcW w:w="617" w:type="dxa"/>
          </w:tcPr>
          <w:p w14:paraId="41E15739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2. </w:t>
            </w:r>
          </w:p>
        </w:tc>
        <w:tc>
          <w:tcPr>
            <w:tcW w:w="4623" w:type="dxa"/>
          </w:tcPr>
          <w:p w14:paraId="7CDC01DE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Trajanje leasinga</w:t>
            </w:r>
          </w:p>
        </w:tc>
        <w:tc>
          <w:tcPr>
            <w:tcW w:w="3822" w:type="dxa"/>
          </w:tcPr>
          <w:p w14:paraId="1F408B86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60 mjeseci</w:t>
            </w:r>
          </w:p>
        </w:tc>
      </w:tr>
      <w:tr w:rsidR="00E7194D" w:rsidRPr="00B67676" w14:paraId="0D248B6B" w14:textId="77777777" w:rsidTr="00405EE8">
        <w:tc>
          <w:tcPr>
            <w:tcW w:w="617" w:type="dxa"/>
          </w:tcPr>
          <w:p w14:paraId="3CC32F7E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3. </w:t>
            </w:r>
          </w:p>
        </w:tc>
        <w:tc>
          <w:tcPr>
            <w:tcW w:w="4623" w:type="dxa"/>
          </w:tcPr>
          <w:p w14:paraId="2701C253" w14:textId="77777777" w:rsidR="00E7194D" w:rsidRDefault="00E7194D" w:rsidP="00405EE8">
            <w:pPr>
              <w:pStyle w:val="Bezproreda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Ostatak vrijednosti objekta leasinga </w:t>
            </w:r>
          </w:p>
          <w:p w14:paraId="0988C3EC" w14:textId="77777777" w:rsidR="00E7194D" w:rsidRPr="00B67676" w:rsidRDefault="00E7194D" w:rsidP="00405EE8">
            <w:pPr>
              <w:pStyle w:val="Bezproreda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neto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5ED0D913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3.552,00 / 4.440,00 EUR</w:t>
            </w:r>
          </w:p>
        </w:tc>
      </w:tr>
      <w:tr w:rsidR="00E7194D" w:rsidRPr="00B67676" w14:paraId="794DCBE5" w14:textId="77777777" w:rsidTr="00405EE8">
        <w:tc>
          <w:tcPr>
            <w:tcW w:w="617" w:type="dxa"/>
          </w:tcPr>
          <w:p w14:paraId="4E052F5C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4. </w:t>
            </w:r>
          </w:p>
        </w:tc>
        <w:tc>
          <w:tcPr>
            <w:tcW w:w="4623" w:type="dxa"/>
          </w:tcPr>
          <w:p w14:paraId="37F6ABB2" w14:textId="77777777" w:rsidR="00E7194D" w:rsidRPr="00D91057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Naknada za leasing </w:t>
            </w:r>
          </w:p>
        </w:tc>
        <w:tc>
          <w:tcPr>
            <w:tcW w:w="3822" w:type="dxa"/>
          </w:tcPr>
          <w:p w14:paraId="0D25AC40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</w:p>
        </w:tc>
      </w:tr>
      <w:tr w:rsidR="00E7194D" w:rsidRPr="00B67676" w14:paraId="4FA8D8E6" w14:textId="77777777" w:rsidTr="00405EE8">
        <w:tc>
          <w:tcPr>
            <w:tcW w:w="617" w:type="dxa"/>
          </w:tcPr>
          <w:p w14:paraId="3893F652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lastRenderedPageBreak/>
              <w:t>4.</w:t>
            </w:r>
            <w:r>
              <w:rPr>
                <w:rFonts w:ascii="Arial" w:eastAsia="Times New Roman" w:hAnsi="Arial" w:cs="Arial"/>
              </w:rPr>
              <w:t>1</w:t>
            </w:r>
            <w:r w:rsidRPr="00B6767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623" w:type="dxa"/>
          </w:tcPr>
          <w:p w14:paraId="1F5D7172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Obrok naknade za leasing neto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5ED5EB18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240,96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409,16 EUR</w:t>
            </w:r>
          </w:p>
        </w:tc>
      </w:tr>
      <w:tr w:rsidR="00E7194D" w:rsidRPr="00B67676" w14:paraId="006A5F9C" w14:textId="77777777" w:rsidTr="00405EE8">
        <w:tc>
          <w:tcPr>
            <w:tcW w:w="617" w:type="dxa"/>
          </w:tcPr>
          <w:p w14:paraId="1B95DFF3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4.2</w:t>
            </w:r>
          </w:p>
        </w:tc>
        <w:tc>
          <w:tcPr>
            <w:tcW w:w="4623" w:type="dxa"/>
          </w:tcPr>
          <w:p w14:paraId="5FBD326F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Broj obroka</w:t>
            </w:r>
          </w:p>
        </w:tc>
        <w:tc>
          <w:tcPr>
            <w:tcW w:w="3822" w:type="dxa"/>
          </w:tcPr>
          <w:p w14:paraId="7844BF43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60</w:t>
            </w:r>
          </w:p>
        </w:tc>
      </w:tr>
      <w:tr w:rsidR="00E7194D" w:rsidRPr="00B67676" w14:paraId="7C53BBE5" w14:textId="77777777" w:rsidTr="00405EE8">
        <w:tc>
          <w:tcPr>
            <w:tcW w:w="617" w:type="dxa"/>
          </w:tcPr>
          <w:p w14:paraId="0BE2974D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4.3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623" w:type="dxa"/>
          </w:tcPr>
          <w:p w14:paraId="0ED31E39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Posebna najamnina net</w:t>
            </w:r>
            <w:r>
              <w:rPr>
                <w:rFonts w:ascii="Arial" w:eastAsia="Times New Roman" w:hAnsi="Arial" w:cs="Arial"/>
              </w:rPr>
              <w:t xml:space="preserve">o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543B26FE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3.552,00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4.440,00 EUR</w:t>
            </w:r>
          </w:p>
        </w:tc>
      </w:tr>
      <w:tr w:rsidR="00E7194D" w:rsidRPr="00B67676" w14:paraId="3E42DB2A" w14:textId="77777777" w:rsidTr="00405EE8">
        <w:tc>
          <w:tcPr>
            <w:tcW w:w="617" w:type="dxa"/>
          </w:tcPr>
          <w:p w14:paraId="335C2BA4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4.4</w:t>
            </w:r>
          </w:p>
        </w:tc>
        <w:tc>
          <w:tcPr>
            <w:tcW w:w="4623" w:type="dxa"/>
          </w:tcPr>
          <w:p w14:paraId="7202F855" w14:textId="77777777" w:rsidR="00E7194D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Ukupna naknada bez troška obrade </w:t>
            </w:r>
          </w:p>
          <w:p w14:paraId="76FDD933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neto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03827157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18.009,60 / 28.989,60 EUR</w:t>
            </w:r>
          </w:p>
        </w:tc>
      </w:tr>
      <w:tr w:rsidR="00E7194D" w:rsidRPr="00B67676" w14:paraId="37F20D1E" w14:textId="77777777" w:rsidTr="00405EE8">
        <w:tc>
          <w:tcPr>
            <w:tcW w:w="617" w:type="dxa"/>
          </w:tcPr>
          <w:p w14:paraId="25DEBBD1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4.5</w:t>
            </w:r>
          </w:p>
        </w:tc>
        <w:tc>
          <w:tcPr>
            <w:tcW w:w="4623" w:type="dxa"/>
          </w:tcPr>
          <w:p w14:paraId="6CD8076E" w14:textId="77777777" w:rsidR="00E7194D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Ukupna naknada s troškom obrade </w:t>
            </w:r>
          </w:p>
          <w:p w14:paraId="36A2043E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</w:t>
            </w:r>
            <w:r w:rsidRPr="00B67676">
              <w:rPr>
                <w:rFonts w:ascii="Arial" w:eastAsia="Times New Roman" w:hAnsi="Arial" w:cs="Arial"/>
              </w:rPr>
              <w:t>eto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00898CFA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18.187,20 / 29.211,60 EUR</w:t>
            </w:r>
          </w:p>
        </w:tc>
      </w:tr>
      <w:tr w:rsidR="00E7194D" w:rsidRPr="00B67676" w14:paraId="0035DE99" w14:textId="77777777" w:rsidTr="00405EE8">
        <w:tc>
          <w:tcPr>
            <w:tcW w:w="617" w:type="dxa"/>
          </w:tcPr>
          <w:p w14:paraId="5BEDF783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4.5</w:t>
            </w:r>
          </w:p>
        </w:tc>
        <w:tc>
          <w:tcPr>
            <w:tcW w:w="4623" w:type="dxa"/>
          </w:tcPr>
          <w:p w14:paraId="533D4A0F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Trošak obrade neto</w:t>
            </w:r>
            <w:r>
              <w:rPr>
                <w:rFonts w:ascii="Arial" w:eastAsia="Times New Roman" w:hAnsi="Arial" w:cs="Arial"/>
              </w:rPr>
              <w:t xml:space="preserve"> / </w:t>
            </w:r>
            <w:r w:rsidRPr="00B67676">
              <w:rPr>
                <w:rFonts w:ascii="Arial" w:eastAsia="Times New Roman" w:hAnsi="Arial" w:cs="Arial"/>
              </w:rPr>
              <w:t>bruto</w:t>
            </w:r>
          </w:p>
        </w:tc>
        <w:tc>
          <w:tcPr>
            <w:tcW w:w="3822" w:type="dxa"/>
          </w:tcPr>
          <w:p w14:paraId="714F09BF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177,60 / 222,00 EUR</w:t>
            </w:r>
          </w:p>
        </w:tc>
      </w:tr>
      <w:tr w:rsidR="00E7194D" w:rsidRPr="00B67676" w14:paraId="74DD98D3" w14:textId="77777777" w:rsidTr="00405EE8">
        <w:tc>
          <w:tcPr>
            <w:tcW w:w="617" w:type="dxa"/>
          </w:tcPr>
          <w:p w14:paraId="2DA950F3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4.</w:t>
            </w: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623" w:type="dxa"/>
          </w:tcPr>
          <w:p w14:paraId="53934B0D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Nominalna kamatna stopa </w:t>
            </w:r>
          </w:p>
        </w:tc>
        <w:tc>
          <w:tcPr>
            <w:tcW w:w="3822" w:type="dxa"/>
          </w:tcPr>
          <w:p w14:paraId="54B3129B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8,15 % nepromjenjiva </w:t>
            </w:r>
          </w:p>
        </w:tc>
      </w:tr>
      <w:tr w:rsidR="00E7194D" w:rsidRPr="00B67676" w14:paraId="4FB57212" w14:textId="77777777" w:rsidTr="00405EE8">
        <w:tc>
          <w:tcPr>
            <w:tcW w:w="617" w:type="dxa"/>
          </w:tcPr>
          <w:p w14:paraId="743CD2A8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5. </w:t>
            </w:r>
          </w:p>
        </w:tc>
        <w:tc>
          <w:tcPr>
            <w:tcW w:w="4623" w:type="dxa"/>
          </w:tcPr>
          <w:p w14:paraId="5C6A688C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 xml:space="preserve">Instrumenti osiguranja </w:t>
            </w:r>
          </w:p>
        </w:tc>
        <w:tc>
          <w:tcPr>
            <w:tcW w:w="3822" w:type="dxa"/>
          </w:tcPr>
          <w:p w14:paraId="7939A3E3" w14:textId="77777777" w:rsidR="00E7194D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Obična zadužnica primatelja leasinga</w:t>
            </w:r>
          </w:p>
          <w:p w14:paraId="33514449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na iznos od 14.208,00 EUR </w:t>
            </w:r>
          </w:p>
        </w:tc>
      </w:tr>
      <w:tr w:rsidR="00E7194D" w:rsidRPr="00B67676" w14:paraId="13D0632A" w14:textId="77777777" w:rsidTr="00405EE8">
        <w:tc>
          <w:tcPr>
            <w:tcW w:w="617" w:type="dxa"/>
          </w:tcPr>
          <w:p w14:paraId="7EE5F64D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4623" w:type="dxa"/>
          </w:tcPr>
          <w:p w14:paraId="5726D90A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Ugovoreni broj kilometara ili radnih sati godišnje</w:t>
            </w:r>
          </w:p>
        </w:tc>
        <w:tc>
          <w:tcPr>
            <w:tcW w:w="3822" w:type="dxa"/>
          </w:tcPr>
          <w:p w14:paraId="08613239" w14:textId="77777777" w:rsidR="00E7194D" w:rsidRPr="00B67676" w:rsidRDefault="00E7194D" w:rsidP="00405EE8">
            <w:pPr>
              <w:pStyle w:val="Bezproreda"/>
              <w:jc w:val="both"/>
              <w:rPr>
                <w:rFonts w:ascii="Arial" w:eastAsia="Times New Roman" w:hAnsi="Arial" w:cs="Arial"/>
              </w:rPr>
            </w:pPr>
            <w:r w:rsidRPr="00B67676">
              <w:rPr>
                <w:rFonts w:ascii="Arial" w:eastAsia="Times New Roman" w:hAnsi="Arial" w:cs="Arial"/>
              </w:rPr>
              <w:t>25.000</w:t>
            </w:r>
          </w:p>
        </w:tc>
      </w:tr>
    </w:tbl>
    <w:p w14:paraId="705E031C" w14:textId="77777777" w:rsidR="00241A94" w:rsidRDefault="00241A94" w:rsidP="00345FD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5C4EC756" w14:textId="6C64C171" w:rsidR="00345FD1" w:rsidRP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</w:t>
      </w:r>
      <w:r w:rsidR="006D0BCF">
        <w:rPr>
          <w:rFonts w:ascii="Arial" w:eastAsia="Calibri" w:hAnsi="Arial" w:cs="Arial"/>
          <w:sz w:val="24"/>
          <w:szCs w:val="24"/>
          <w:lang w:val="hr-BA"/>
        </w:rPr>
        <w:t>a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,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5D2530A9" w14:textId="34593175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bookmarkEnd w:id="4"/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C4362"/>
    <w:multiLevelType w:val="hybridMultilevel"/>
    <w:tmpl w:val="144CE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234C"/>
    <w:multiLevelType w:val="hybridMultilevel"/>
    <w:tmpl w:val="C9B47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56C27"/>
    <w:multiLevelType w:val="hybridMultilevel"/>
    <w:tmpl w:val="80A6FD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2"/>
  </w:num>
  <w:num w:numId="2" w16cid:durableId="1295671245">
    <w:abstractNumId w:val="6"/>
  </w:num>
  <w:num w:numId="3" w16cid:durableId="1045057861">
    <w:abstractNumId w:val="3"/>
  </w:num>
  <w:num w:numId="4" w16cid:durableId="1400521455">
    <w:abstractNumId w:val="0"/>
  </w:num>
  <w:num w:numId="5" w16cid:durableId="110132024">
    <w:abstractNumId w:val="4"/>
  </w:num>
  <w:num w:numId="6" w16cid:durableId="945504550">
    <w:abstractNumId w:val="1"/>
  </w:num>
  <w:num w:numId="7" w16cid:durableId="1819111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13E92"/>
    <w:rsid w:val="00037A73"/>
    <w:rsid w:val="000A4151"/>
    <w:rsid w:val="000C3A77"/>
    <w:rsid w:val="000C423A"/>
    <w:rsid w:val="000E273C"/>
    <w:rsid w:val="001644BE"/>
    <w:rsid w:val="001676DE"/>
    <w:rsid w:val="001A2D56"/>
    <w:rsid w:val="001A7B5E"/>
    <w:rsid w:val="001B551B"/>
    <w:rsid w:val="001C60AE"/>
    <w:rsid w:val="001C6971"/>
    <w:rsid w:val="001E012B"/>
    <w:rsid w:val="00237208"/>
    <w:rsid w:val="00241A94"/>
    <w:rsid w:val="00251C5D"/>
    <w:rsid w:val="002707C4"/>
    <w:rsid w:val="002828F4"/>
    <w:rsid w:val="0029429F"/>
    <w:rsid w:val="002D3ED5"/>
    <w:rsid w:val="002F5A1C"/>
    <w:rsid w:val="002F63AC"/>
    <w:rsid w:val="00335519"/>
    <w:rsid w:val="00341281"/>
    <w:rsid w:val="00345FD1"/>
    <w:rsid w:val="003C27A2"/>
    <w:rsid w:val="003D000D"/>
    <w:rsid w:val="003D29B2"/>
    <w:rsid w:val="003E4567"/>
    <w:rsid w:val="00405F95"/>
    <w:rsid w:val="004073DA"/>
    <w:rsid w:val="0046000F"/>
    <w:rsid w:val="004805F0"/>
    <w:rsid w:val="00485B45"/>
    <w:rsid w:val="004A0AB5"/>
    <w:rsid w:val="004A6127"/>
    <w:rsid w:val="004D292E"/>
    <w:rsid w:val="005106EF"/>
    <w:rsid w:val="00546B71"/>
    <w:rsid w:val="005526B8"/>
    <w:rsid w:val="00596390"/>
    <w:rsid w:val="00606E1B"/>
    <w:rsid w:val="00626EC6"/>
    <w:rsid w:val="00633B2B"/>
    <w:rsid w:val="0064324E"/>
    <w:rsid w:val="00647D64"/>
    <w:rsid w:val="006918D8"/>
    <w:rsid w:val="006A0779"/>
    <w:rsid w:val="006D0BCF"/>
    <w:rsid w:val="0071052A"/>
    <w:rsid w:val="007119DE"/>
    <w:rsid w:val="0074025A"/>
    <w:rsid w:val="00785300"/>
    <w:rsid w:val="007B12EC"/>
    <w:rsid w:val="007B6FAD"/>
    <w:rsid w:val="007C0B4D"/>
    <w:rsid w:val="007F0B06"/>
    <w:rsid w:val="00836E5A"/>
    <w:rsid w:val="0085206D"/>
    <w:rsid w:val="00866A6C"/>
    <w:rsid w:val="008F77E6"/>
    <w:rsid w:val="0091745F"/>
    <w:rsid w:val="0093069B"/>
    <w:rsid w:val="00940086"/>
    <w:rsid w:val="00944BB5"/>
    <w:rsid w:val="00957DA5"/>
    <w:rsid w:val="009D3CB3"/>
    <w:rsid w:val="009D7113"/>
    <w:rsid w:val="009E6259"/>
    <w:rsid w:val="00A37D4E"/>
    <w:rsid w:val="00A52952"/>
    <w:rsid w:val="00AC2DDE"/>
    <w:rsid w:val="00AD4A21"/>
    <w:rsid w:val="00AE0EF8"/>
    <w:rsid w:val="00B018CF"/>
    <w:rsid w:val="00B11622"/>
    <w:rsid w:val="00B2302C"/>
    <w:rsid w:val="00B67576"/>
    <w:rsid w:val="00B67676"/>
    <w:rsid w:val="00B94EB1"/>
    <w:rsid w:val="00BC44E4"/>
    <w:rsid w:val="00BF566E"/>
    <w:rsid w:val="00C83522"/>
    <w:rsid w:val="00C86F84"/>
    <w:rsid w:val="00CF5EAA"/>
    <w:rsid w:val="00CF67F8"/>
    <w:rsid w:val="00CF786E"/>
    <w:rsid w:val="00D47F56"/>
    <w:rsid w:val="00D91057"/>
    <w:rsid w:val="00DF0219"/>
    <w:rsid w:val="00E63F92"/>
    <w:rsid w:val="00E7194D"/>
    <w:rsid w:val="00EA39DA"/>
    <w:rsid w:val="00EB5EB0"/>
    <w:rsid w:val="00EB624B"/>
    <w:rsid w:val="00EF196C"/>
    <w:rsid w:val="00F5527F"/>
    <w:rsid w:val="00F57491"/>
    <w:rsid w:val="00F666FA"/>
    <w:rsid w:val="00F84F77"/>
    <w:rsid w:val="00FB2B99"/>
    <w:rsid w:val="00FB4C4F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  <w:style w:type="table" w:styleId="Reetkatablice">
    <w:name w:val="Table Grid"/>
    <w:basedOn w:val="Obinatablica"/>
    <w:uiPriority w:val="39"/>
    <w:rsid w:val="0062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20</cp:revision>
  <dcterms:created xsi:type="dcterms:W3CDTF">2022-06-27T11:38:00Z</dcterms:created>
  <dcterms:modified xsi:type="dcterms:W3CDTF">2024-01-25T13:23:00Z</dcterms:modified>
</cp:coreProperties>
</file>